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4253"/>
        <w:gridCol w:w="1701"/>
        <w:gridCol w:w="1559"/>
      </w:tblGrid>
      <w:tr w:rsidR="002A4376" w:rsidRPr="009C19F0" w:rsidTr="00C87FBA">
        <w:trPr>
          <w:cantSplit/>
        </w:trPr>
        <w:tc>
          <w:tcPr>
            <w:tcW w:w="2263" w:type="dxa"/>
            <w:gridSpan w:val="2"/>
          </w:tcPr>
          <w:p w:rsidR="002A4376" w:rsidRPr="002355D3" w:rsidRDefault="002A4376" w:rsidP="00D642FC">
            <w:pPr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4253" w:type="dxa"/>
          </w:tcPr>
          <w:p w:rsidR="002A4376" w:rsidRPr="009E7469" w:rsidRDefault="002A4376" w:rsidP="0073634B">
            <w:pPr>
              <w:jc w:val="right"/>
              <w:rPr>
                <w:rFonts w:ascii="Calibri" w:eastAsia="Times New Roman" w:hAnsi="Calibri" w:cs="Calibri"/>
                <w:lang w:val="en-US" w:eastAsia="fr-FR"/>
              </w:rPr>
            </w:pPr>
            <w:r w:rsidRPr="009E7469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</w:p>
        </w:tc>
        <w:tc>
          <w:tcPr>
            <w:tcW w:w="1701" w:type="dxa"/>
          </w:tcPr>
          <w:p w:rsidR="002A4376" w:rsidRPr="002355D3" w:rsidRDefault="002A4376" w:rsidP="009C3EB2">
            <w:pPr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59" w:type="dxa"/>
          </w:tcPr>
          <w:p w:rsidR="002A4376" w:rsidRPr="002355D3" w:rsidRDefault="002A4376" w:rsidP="003D1DFE">
            <w:pPr>
              <w:rPr>
                <w:rFonts w:ascii="Calibri" w:eastAsia="Times New Roman" w:hAnsi="Calibri" w:cs="Calibri"/>
                <w:lang w:val="en-US" w:eastAsia="fr-FR"/>
              </w:rPr>
            </w:pPr>
            <w:r w:rsidRPr="002355D3">
              <w:rPr>
                <w:rFonts w:ascii="Calibri" w:eastAsia="Times New Roman" w:hAnsi="Calibri" w:cs="Calibri"/>
                <w:lang w:val="en-US" w:eastAsia="fr-FR"/>
              </w:rPr>
              <w:t xml:space="preserve">Version </w:t>
            </w:r>
            <w:r w:rsidR="000475A5">
              <w:rPr>
                <w:rFonts w:ascii="Calibri" w:eastAsia="Times New Roman" w:hAnsi="Calibri" w:cs="Calibri"/>
                <w:lang w:val="en-US" w:eastAsia="fr-FR"/>
              </w:rPr>
              <w:t>1</w:t>
            </w:r>
          </w:p>
        </w:tc>
      </w:tr>
      <w:tr w:rsidR="002A4376" w:rsidRPr="009C19F0" w:rsidTr="00516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7"/>
        </w:trPr>
        <w:tc>
          <w:tcPr>
            <w:tcW w:w="1413" w:type="dxa"/>
          </w:tcPr>
          <w:p w:rsidR="002A4376" w:rsidRPr="002355D3" w:rsidRDefault="00516F05" w:rsidP="002A4376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6"/>
                <w:lang w:val="en-US" w:eastAsia="fr-FR"/>
              </w:rPr>
            </w:pPr>
            <w:r w:rsidRPr="002355D3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7566716" wp14:editId="022D2F1A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0</wp:posOffset>
                  </wp:positionV>
                  <wp:extent cx="869950" cy="858520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4"/>
          </w:tcPr>
          <w:p w:rsidR="002A4376" w:rsidRPr="009E7469" w:rsidRDefault="000214F3" w:rsidP="002A4376">
            <w:pPr>
              <w:spacing w:before="48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6"/>
                <w:lang w:val="en-US" w:eastAsia="fr-FR"/>
              </w:rPr>
            </w:pPr>
            <w:r w:rsidRPr="009E7469">
              <w:rPr>
                <w:rFonts w:ascii="Calibri" w:eastAsia="Times New Roman" w:hAnsi="Calibri" w:cs="Calibri"/>
                <w:b/>
                <w:bCs/>
                <w:sz w:val="40"/>
                <w:szCs w:val="26"/>
                <w:lang w:val="en-US" w:eastAsia="fr-FR"/>
              </w:rPr>
              <w:t>Notified Body</w:t>
            </w:r>
            <w:r w:rsidR="002A4376" w:rsidRPr="009E7469">
              <w:rPr>
                <w:rFonts w:ascii="Calibri" w:eastAsia="Times New Roman" w:hAnsi="Calibri" w:cs="Calibri"/>
                <w:b/>
                <w:bCs/>
                <w:sz w:val="40"/>
                <w:szCs w:val="26"/>
                <w:lang w:val="en-US" w:eastAsia="fr-FR"/>
              </w:rPr>
              <w:t xml:space="preserve"> Position Paper</w:t>
            </w:r>
          </w:p>
        </w:tc>
      </w:tr>
      <w:tr w:rsidR="002A4376" w:rsidRPr="009C19F0" w:rsidTr="002142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76" w:type="dxa"/>
            <w:gridSpan w:val="5"/>
          </w:tcPr>
          <w:p w:rsidR="002A4376" w:rsidRPr="002355D3" w:rsidRDefault="00AC4A3A" w:rsidP="00020BDF">
            <w:pPr>
              <w:pStyle w:val="Titr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Standardized confirmation letter for </w:t>
            </w:r>
            <w:r w:rsidRPr="00AC4A3A">
              <w:rPr>
                <w:rFonts w:ascii="Calibri" w:hAnsi="Calibri" w:cs="Calibri"/>
              </w:rPr>
              <w:t xml:space="preserve">correcting or complementing information on existing </w:t>
            </w:r>
            <w:r w:rsidR="000475A5">
              <w:rPr>
                <w:rFonts w:ascii="Calibri" w:hAnsi="Calibri" w:cs="Calibri"/>
              </w:rPr>
              <w:t>IVDD</w:t>
            </w:r>
            <w:r w:rsidR="00020BDF">
              <w:rPr>
                <w:rFonts w:ascii="Calibri" w:hAnsi="Calibri" w:cs="Calibri"/>
              </w:rPr>
              <w:t xml:space="preserve"> </w:t>
            </w:r>
            <w:r w:rsidRPr="00AC4A3A">
              <w:rPr>
                <w:rFonts w:ascii="Calibri" w:hAnsi="Calibri" w:cs="Calibri"/>
              </w:rPr>
              <w:t>certificate</w:t>
            </w:r>
            <w:r w:rsidR="00020BDF">
              <w:rPr>
                <w:rFonts w:ascii="Calibri" w:hAnsi="Calibri" w:cs="Calibri"/>
              </w:rPr>
              <w:t>s</w:t>
            </w:r>
          </w:p>
        </w:tc>
      </w:tr>
    </w:tbl>
    <w:p w:rsidR="0049299E" w:rsidRPr="009E7469" w:rsidRDefault="0049299E" w:rsidP="00020BDF">
      <w:pPr>
        <w:rPr>
          <w:rFonts w:ascii="Calibri" w:hAnsi="Calibri" w:cs="Calibri"/>
        </w:rPr>
      </w:pPr>
    </w:p>
    <w:p w:rsidR="00F73B69" w:rsidRPr="000475A5" w:rsidRDefault="00F73B69" w:rsidP="000475A5">
      <w:pPr>
        <w:pStyle w:val="Default"/>
        <w:rPr>
          <w:rFonts w:ascii="Calibri" w:hAnsi="Calibri" w:cs="Calibri"/>
          <w:snapToGrid w:val="0"/>
          <w:sz w:val="22"/>
          <w:szCs w:val="22"/>
          <w:lang w:val="en-US"/>
        </w:rPr>
      </w:pPr>
      <w:r w:rsidRPr="00C139A9">
        <w:rPr>
          <w:rFonts w:ascii="Calibri" w:hAnsi="Calibri" w:cs="Calibri"/>
          <w:snapToGrid w:val="0"/>
          <w:sz w:val="22"/>
          <w:szCs w:val="22"/>
          <w:lang w:val="en-US"/>
        </w:rPr>
        <w:t xml:space="preserve">The </w:t>
      </w:r>
      <w:r w:rsidRPr="00C139A9">
        <w:rPr>
          <w:rFonts w:ascii="Calibri" w:hAnsi="Calibri" w:cs="Calibri"/>
          <w:bCs/>
          <w:snapToGrid w:val="0"/>
          <w:sz w:val="22"/>
          <w:szCs w:val="22"/>
          <w:lang w:val="en-US"/>
        </w:rPr>
        <w:t xml:space="preserve">purpose </w:t>
      </w:r>
      <w:r w:rsidRPr="00C139A9">
        <w:rPr>
          <w:rFonts w:ascii="Calibri" w:hAnsi="Calibri" w:cs="Calibri"/>
          <w:snapToGrid w:val="0"/>
          <w:sz w:val="22"/>
          <w:szCs w:val="22"/>
          <w:lang w:val="en-US"/>
        </w:rPr>
        <w:t xml:space="preserve">of </w:t>
      </w:r>
      <w:r>
        <w:rPr>
          <w:rFonts w:ascii="Calibri" w:hAnsi="Calibri" w:cs="Calibri"/>
          <w:snapToGrid w:val="0"/>
          <w:sz w:val="22"/>
          <w:szCs w:val="22"/>
          <w:lang w:val="en-US"/>
        </w:rPr>
        <w:t xml:space="preserve">this document </w:t>
      </w:r>
      <w:r w:rsidRPr="00C139A9">
        <w:rPr>
          <w:rFonts w:ascii="Calibri" w:hAnsi="Calibri" w:cs="Calibri"/>
          <w:snapToGrid w:val="0"/>
          <w:sz w:val="22"/>
          <w:szCs w:val="22"/>
          <w:lang w:val="en-US"/>
        </w:rPr>
        <w:t>is to establish N</w:t>
      </w:r>
      <w:r>
        <w:rPr>
          <w:rFonts w:ascii="Calibri" w:hAnsi="Calibri" w:cs="Calibri"/>
          <w:snapToGrid w:val="0"/>
          <w:sz w:val="22"/>
          <w:szCs w:val="22"/>
          <w:lang w:val="en-US"/>
        </w:rPr>
        <w:t>otified Bodies</w:t>
      </w:r>
      <w:r w:rsidRPr="00C139A9">
        <w:rPr>
          <w:rFonts w:ascii="Calibri" w:hAnsi="Calibri" w:cs="Calibri"/>
          <w:snapToGrid w:val="0"/>
          <w:sz w:val="22"/>
          <w:szCs w:val="22"/>
          <w:lang w:val="en-US"/>
        </w:rPr>
        <w:t xml:space="preserve"> harmonized approach for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a written confirmation that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the implementation of the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>change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>s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does not represent a significant change in design or intended purpose under </w:t>
      </w:r>
      <w:r w:rsidR="000475A5">
        <w:rPr>
          <w:rFonts w:ascii="Calibri" w:hAnsi="Calibri" w:cs="Calibri"/>
          <w:snapToGrid w:val="0"/>
          <w:sz w:val="22"/>
          <w:szCs w:val="22"/>
          <w:lang w:val="en-US"/>
        </w:rPr>
        <w:t>IV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>DR Article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>1</w:t>
      </w:r>
      <w:r w:rsidR="000475A5">
        <w:rPr>
          <w:rFonts w:ascii="Calibri" w:hAnsi="Calibri" w:cs="Calibri"/>
          <w:snapToGrid w:val="0"/>
          <w:sz w:val="22"/>
          <w:szCs w:val="22"/>
          <w:lang w:val="en-US"/>
        </w:rPr>
        <w:t>1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0(3) and that the related </w:t>
      </w:r>
      <w:r w:rsidR="000475A5">
        <w:rPr>
          <w:rFonts w:ascii="Calibri" w:hAnsi="Calibri" w:cs="Calibri"/>
          <w:snapToGrid w:val="0"/>
          <w:sz w:val="22"/>
          <w:szCs w:val="22"/>
          <w:lang w:val="en-US"/>
        </w:rPr>
        <w:t>IVD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D certificate remains valid 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>until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26 May 202</w:t>
      </w:r>
      <w:r w:rsidR="000475A5">
        <w:rPr>
          <w:rFonts w:ascii="Calibri" w:hAnsi="Calibri" w:cs="Calibri"/>
          <w:snapToGrid w:val="0"/>
          <w:sz w:val="22"/>
          <w:szCs w:val="22"/>
          <w:lang w:val="en-US"/>
        </w:rPr>
        <w:t>5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, 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>at the latest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. 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A 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>written confirmation corrects or complements information on an existing certificate but does not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>represent the issuance of a “supplemented certificate” as this is prohibited as mentioned in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 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Section 3. </w:t>
      </w:r>
      <w:r w:rsidR="00020BDF">
        <w:rPr>
          <w:rFonts w:ascii="Calibri" w:hAnsi="Calibri" w:cs="Calibri"/>
          <w:snapToGrid w:val="0"/>
          <w:sz w:val="22"/>
          <w:szCs w:val="22"/>
          <w:lang w:val="en-US"/>
        </w:rPr>
        <w:t xml:space="preserve">This position paper follows the approach of 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>MDCG 202</w:t>
      </w:r>
      <w:r w:rsidR="000475A5">
        <w:rPr>
          <w:rFonts w:ascii="Calibri" w:hAnsi="Calibri" w:cs="Calibri"/>
          <w:snapToGrid w:val="0"/>
          <w:sz w:val="22"/>
          <w:szCs w:val="22"/>
          <w:lang w:val="en-US"/>
        </w:rPr>
        <w:t>2</w:t>
      </w:r>
      <w:r w:rsidR="00020BDF" w:rsidRPr="00020BDF">
        <w:rPr>
          <w:rFonts w:ascii="Calibri" w:hAnsi="Calibri" w:cs="Calibri"/>
          <w:snapToGrid w:val="0"/>
          <w:sz w:val="22"/>
          <w:szCs w:val="22"/>
          <w:lang w:val="en-US"/>
        </w:rPr>
        <w:t>-</w:t>
      </w:r>
      <w:r w:rsidR="000475A5">
        <w:rPr>
          <w:rFonts w:ascii="Calibri" w:hAnsi="Calibri" w:cs="Calibri"/>
          <w:snapToGrid w:val="0"/>
          <w:sz w:val="22"/>
          <w:szCs w:val="22"/>
          <w:lang w:val="en-US"/>
        </w:rPr>
        <w:t xml:space="preserve">XX </w:t>
      </w:r>
      <w:r w:rsidR="000475A5" w:rsidRPr="000475A5">
        <w:rPr>
          <w:rFonts w:ascii="Calibri" w:hAnsi="Calibri" w:cs="Calibri"/>
          <w:snapToGrid w:val="0"/>
          <w:sz w:val="22"/>
          <w:szCs w:val="22"/>
          <w:lang w:val="en-US"/>
        </w:rPr>
        <w:t>Guidance on significant changes regarding the 1 transitional provision under Article 110(3) of the IVDR</w:t>
      </w:r>
      <w:r w:rsidR="00020BDF" w:rsidRPr="000475A5">
        <w:rPr>
          <w:rFonts w:ascii="Calibri" w:hAnsi="Calibri" w:cs="Calibri"/>
          <w:snapToGrid w:val="0"/>
          <w:sz w:val="22"/>
          <w:szCs w:val="22"/>
          <w:lang w:val="en-US"/>
        </w:rPr>
        <w:t>.</w:t>
      </w:r>
    </w:p>
    <w:p w:rsidR="000214F3" w:rsidRPr="00F73B69" w:rsidRDefault="000214F3" w:rsidP="00F73B69">
      <w:pPr>
        <w:spacing w:after="120" w:line="276" w:lineRule="auto"/>
        <w:jc w:val="left"/>
        <w:rPr>
          <w:rFonts w:ascii="Calibri" w:eastAsia="SimHei" w:hAnsi="Calibri" w:cs="Calibri"/>
          <w:b/>
          <w:sz w:val="22"/>
          <w:szCs w:val="22"/>
          <w:lang w:val="en-US" w:eastAsia="zh-CN"/>
        </w:rPr>
      </w:pPr>
    </w:p>
    <w:p w:rsidR="00946D98" w:rsidRPr="00AB7532" w:rsidRDefault="00020BDF" w:rsidP="00020BDF">
      <w:pPr>
        <w:pStyle w:val="Paragraphedeliste"/>
        <w:numPr>
          <w:ilvl w:val="0"/>
          <w:numId w:val="2"/>
        </w:numPr>
        <w:rPr>
          <w:rFonts w:ascii="Calibri" w:eastAsia="SimHei" w:hAnsi="Calibri" w:cs="Calibri"/>
          <w:b/>
          <w:sz w:val="22"/>
          <w:szCs w:val="22"/>
          <w:lang w:eastAsia="zh-CN"/>
        </w:rPr>
      </w:pPr>
      <w:r>
        <w:rPr>
          <w:rFonts w:ascii="Calibri" w:eastAsia="SimHei" w:hAnsi="Calibri" w:cs="Calibri"/>
          <w:b/>
          <w:sz w:val="22"/>
          <w:szCs w:val="22"/>
          <w:lang w:eastAsia="zh-CN"/>
        </w:rPr>
        <w:t>Confirmation letter to be used by Notified Bodies on a voluntary basis</w:t>
      </w:r>
    </w:p>
    <w:p w:rsidR="0006693A" w:rsidRDefault="0006693A" w:rsidP="002355D3">
      <w:pPr>
        <w:ind w:left="360"/>
        <w:rPr>
          <w:rFonts w:ascii="Calibri" w:eastAsia="SimHei" w:hAnsi="Calibri" w:cs="Calibri"/>
          <w:b/>
          <w:sz w:val="22"/>
          <w:szCs w:val="22"/>
          <w:lang w:eastAsia="zh-CN"/>
        </w:rPr>
      </w:pPr>
    </w:p>
    <w:p w:rsidR="00AC4A3A" w:rsidRDefault="00AC4A3A" w:rsidP="00AC4A3A"/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317"/>
        <w:gridCol w:w="1786"/>
        <w:gridCol w:w="2126"/>
      </w:tblGrid>
      <w:tr w:rsidR="00AC4A3A" w:rsidRPr="00C066C5" w:rsidTr="005B3273">
        <w:trPr>
          <w:cantSplit/>
        </w:trPr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AC4A3A" w:rsidRPr="00BC5EBD" w:rsidRDefault="00AC4A3A" w:rsidP="005B3273">
            <w:pPr>
              <w:tabs>
                <w:tab w:val="left" w:pos="1418"/>
              </w:tabs>
              <w:spacing w:before="120" w:after="120"/>
              <w:ind w:left="1418" w:hanging="1418"/>
              <w:rPr>
                <w:b/>
                <w:sz w:val="22"/>
              </w:rPr>
            </w:pPr>
            <w:r>
              <w:rPr>
                <w:b/>
                <w:sz w:val="22"/>
              </w:rPr>
              <w:t>Directive: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</w:tcBorders>
            <w:vAlign w:val="center"/>
          </w:tcPr>
          <w:p w:rsidR="00AC4A3A" w:rsidRPr="001D699D" w:rsidRDefault="00AC4A3A" w:rsidP="005B3273">
            <w:pPr>
              <w:tabs>
                <w:tab w:val="left" w:pos="1980"/>
              </w:tabs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&lt;e.g. 9</w:t>
            </w:r>
            <w:r w:rsidR="006C197F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/</w:t>
            </w:r>
            <w:r w:rsidR="006C197F">
              <w:rPr>
                <w:b/>
                <w:bCs/>
                <w:sz w:val="22"/>
              </w:rPr>
              <w:t>79</w:t>
            </w:r>
            <w:r>
              <w:rPr>
                <w:b/>
                <w:bCs/>
                <w:sz w:val="22"/>
              </w:rPr>
              <w:t>/EC, Annex I</w:t>
            </w:r>
            <w:r w:rsidR="006C197F">
              <w:rPr>
                <w:b/>
                <w:bCs/>
                <w:sz w:val="22"/>
              </w:rPr>
              <w:t>V</w:t>
            </w:r>
            <w:r>
              <w:rPr>
                <w:b/>
                <w:bCs/>
                <w:sz w:val="22"/>
              </w:rPr>
              <w:t>&gt;</w:t>
            </w:r>
          </w:p>
        </w:tc>
      </w:tr>
      <w:tr w:rsidR="00AC4A3A" w:rsidRPr="00C066C5" w:rsidTr="005B3273">
        <w:trPr>
          <w:cantSplit/>
        </w:trPr>
        <w:tc>
          <w:tcPr>
            <w:tcW w:w="2269" w:type="dxa"/>
            <w:vAlign w:val="center"/>
          </w:tcPr>
          <w:p w:rsidR="00AC4A3A" w:rsidRPr="00BC5EBD" w:rsidRDefault="00AC4A3A" w:rsidP="005B3273">
            <w:pPr>
              <w:tabs>
                <w:tab w:val="left" w:pos="1418"/>
              </w:tabs>
              <w:spacing w:before="120" w:after="120"/>
              <w:ind w:left="1418" w:hanging="1418"/>
              <w:rPr>
                <w:sz w:val="22"/>
              </w:rPr>
            </w:pPr>
            <w:r>
              <w:rPr>
                <w:b/>
                <w:sz w:val="22"/>
              </w:rPr>
              <w:t>Organisation:</w:t>
            </w:r>
          </w:p>
        </w:tc>
        <w:tc>
          <w:tcPr>
            <w:tcW w:w="7229" w:type="dxa"/>
            <w:gridSpan w:val="3"/>
            <w:vAlign w:val="center"/>
          </w:tcPr>
          <w:p w:rsidR="00AC4A3A" w:rsidRPr="00BC5EBD" w:rsidRDefault="00AC4A3A" w:rsidP="005B3273">
            <w:pPr>
              <w:tabs>
                <w:tab w:val="left" w:pos="1980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&lt;Client Name&gt;</w:t>
            </w:r>
          </w:p>
        </w:tc>
      </w:tr>
      <w:tr w:rsidR="00AC4A3A" w:rsidRPr="00C066C5" w:rsidTr="005B3273">
        <w:trPr>
          <w:cantSplit/>
          <w:trHeight w:val="60"/>
        </w:trPr>
        <w:tc>
          <w:tcPr>
            <w:tcW w:w="2269" w:type="dxa"/>
            <w:vAlign w:val="center"/>
          </w:tcPr>
          <w:p w:rsidR="00AC4A3A" w:rsidRPr="00BC5EBD" w:rsidRDefault="00AC4A3A" w:rsidP="005B3273">
            <w:pPr>
              <w:tabs>
                <w:tab w:val="left" w:pos="1980"/>
              </w:tabs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Registered place of business:</w:t>
            </w:r>
          </w:p>
        </w:tc>
        <w:tc>
          <w:tcPr>
            <w:tcW w:w="7229" w:type="dxa"/>
            <w:gridSpan w:val="3"/>
            <w:vAlign w:val="center"/>
          </w:tcPr>
          <w:p w:rsidR="00AC4A3A" w:rsidRPr="00BC5EBD" w:rsidRDefault="00AC4A3A" w:rsidP="005B3273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&lt;Client Address&gt;</w:t>
            </w:r>
          </w:p>
        </w:tc>
      </w:tr>
      <w:tr w:rsidR="00AC4A3A" w:rsidRPr="00C066C5" w:rsidTr="005B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  <w:tblHeader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3A" w:rsidRPr="00BC5EBD" w:rsidRDefault="00AC4A3A" w:rsidP="005B327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Certificate number: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3A" w:rsidRPr="00BC5EBD" w:rsidRDefault="00AC4A3A" w:rsidP="005B327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&lt;No.&gt;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3A" w:rsidRPr="00BC5EBD" w:rsidRDefault="00AC4A3A" w:rsidP="005B327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Validity: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3A" w:rsidRPr="00BC5EBD" w:rsidRDefault="00AC4A3A" w:rsidP="005B327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&lt;Max. 202</w:t>
            </w:r>
            <w:r w:rsidR="006C197F">
              <w:rPr>
                <w:sz w:val="22"/>
              </w:rPr>
              <w:t>5</w:t>
            </w:r>
            <w:r>
              <w:rPr>
                <w:sz w:val="22"/>
              </w:rPr>
              <w:t>-05-26&gt;</w:t>
            </w:r>
          </w:p>
        </w:tc>
      </w:tr>
      <w:tr w:rsidR="00AC4A3A" w:rsidRPr="00C066C5" w:rsidTr="005B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8"/>
          <w:tblHeader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3A" w:rsidRPr="00BC5EBD" w:rsidRDefault="00AC4A3A" w:rsidP="005B327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Scope: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3A" w:rsidRPr="00BC5EBD" w:rsidRDefault="00AC4A3A" w:rsidP="005B327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&lt;Scope of e.g. 9</w:t>
            </w:r>
            <w:r w:rsidR="006C197F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="006C197F">
              <w:rPr>
                <w:sz w:val="22"/>
              </w:rPr>
              <w:t>79</w:t>
            </w:r>
            <w:r>
              <w:rPr>
                <w:sz w:val="22"/>
              </w:rPr>
              <w:t>/EC Annex I</w:t>
            </w:r>
            <w:r w:rsidR="006C197F">
              <w:rPr>
                <w:sz w:val="22"/>
              </w:rPr>
              <w:t>V</w:t>
            </w:r>
            <w:r>
              <w:rPr>
                <w:sz w:val="22"/>
              </w:rPr>
              <w:t xml:space="preserve"> Certificate&gt;</w:t>
            </w:r>
          </w:p>
        </w:tc>
      </w:tr>
      <w:tr w:rsidR="00AC4A3A" w:rsidRPr="00C066C5" w:rsidTr="005B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  <w:tblHeader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3A" w:rsidRPr="00BC5EBD" w:rsidRDefault="00AC4A3A" w:rsidP="005B327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Change description: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3A" w:rsidRPr="001D699D" w:rsidRDefault="00AC4A3A" w:rsidP="005B327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&lt;e.g. removal of products from certificate&gt;</w:t>
            </w:r>
          </w:p>
        </w:tc>
      </w:tr>
      <w:tr w:rsidR="00AC4A3A" w:rsidRPr="00C066C5" w:rsidTr="005B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  <w:tblHeader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A3A" w:rsidRDefault="00AC4A3A" w:rsidP="005B327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Date of change: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A3A" w:rsidRDefault="00AC4A3A" w:rsidP="005B327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&lt;Date of change coming into effect&gt;</w:t>
            </w:r>
          </w:p>
        </w:tc>
      </w:tr>
    </w:tbl>
    <w:p w:rsidR="00AC4A3A" w:rsidRDefault="00AC4A3A" w:rsidP="00AC4A3A"/>
    <w:p w:rsidR="00AC4A3A" w:rsidRDefault="00AC4A3A" w:rsidP="00AC4A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whom it may concern,</w:t>
      </w:r>
    </w:p>
    <w:p w:rsidR="00AC4A3A" w:rsidRDefault="00AC4A3A" w:rsidP="00AC4A3A">
      <w:pPr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(optional) &lt;Name of Notified Body, </w:t>
      </w:r>
      <w:proofErr w:type="spellStart"/>
      <w:r>
        <w:rPr>
          <w:rFonts w:ascii="Arial" w:hAnsi="Arial" w:cs="Arial"/>
          <w:sz w:val="21"/>
          <w:szCs w:val="21"/>
        </w:rPr>
        <w:t>NBxxxx</w:t>
      </w:r>
      <w:proofErr w:type="spellEnd"/>
      <w:r>
        <w:rPr>
          <w:rFonts w:ascii="Arial" w:hAnsi="Arial" w:cs="Arial"/>
          <w:sz w:val="21"/>
          <w:szCs w:val="21"/>
        </w:rPr>
        <w:t>&gt; is a Notified Body according to Regulation (EU) 2017/74</w:t>
      </w:r>
      <w:r w:rsidR="006C197F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on medical devices. </w:t>
      </w: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Pr="00021A20" w:rsidRDefault="00AC4A3A" w:rsidP="00021A20">
      <w:pPr>
        <w:pStyle w:val="Default"/>
        <w:rPr>
          <w:sz w:val="21"/>
          <w:szCs w:val="21"/>
        </w:rPr>
      </w:pPr>
      <w:r w:rsidRPr="00B44C9B">
        <w:rPr>
          <w:sz w:val="21"/>
          <w:szCs w:val="21"/>
        </w:rPr>
        <w:t>&lt;Name of Notified Body,</w:t>
      </w:r>
      <w:r w:rsidRPr="001371D3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NBxxxx</w:t>
      </w:r>
      <w:proofErr w:type="spellEnd"/>
      <w:r w:rsidRPr="00B44C9B">
        <w:rPr>
          <w:sz w:val="21"/>
          <w:szCs w:val="21"/>
        </w:rPr>
        <w:t>&gt;</w:t>
      </w:r>
      <w:r>
        <w:rPr>
          <w:sz w:val="21"/>
          <w:szCs w:val="21"/>
        </w:rPr>
        <w:t xml:space="preserve"> </w:t>
      </w:r>
      <w:r w:rsidRPr="00B44C9B">
        <w:rPr>
          <w:sz w:val="21"/>
          <w:szCs w:val="21"/>
        </w:rPr>
        <w:t>declares that pursuant to Article 1</w:t>
      </w:r>
      <w:r w:rsidR="006C197F">
        <w:rPr>
          <w:sz w:val="21"/>
          <w:szCs w:val="21"/>
        </w:rPr>
        <w:t>1</w:t>
      </w:r>
      <w:r w:rsidRPr="00B44C9B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Pr="00B44C9B">
        <w:rPr>
          <w:sz w:val="21"/>
          <w:szCs w:val="21"/>
        </w:rPr>
        <w:t>(1) of Regulations (EU) 2017/74</w:t>
      </w:r>
      <w:r w:rsidR="00021A20">
        <w:rPr>
          <w:sz w:val="21"/>
          <w:szCs w:val="21"/>
        </w:rPr>
        <w:t>6</w:t>
      </w:r>
      <w:r w:rsidRPr="00B44C9B">
        <w:rPr>
          <w:sz w:val="21"/>
          <w:szCs w:val="21"/>
        </w:rPr>
        <w:t>, since 26th May 202</w:t>
      </w:r>
      <w:r w:rsidR="00021A20">
        <w:rPr>
          <w:sz w:val="21"/>
          <w:szCs w:val="21"/>
        </w:rPr>
        <w:t>2</w:t>
      </w:r>
      <w:r w:rsidRPr="00B44C9B">
        <w:rPr>
          <w:sz w:val="21"/>
          <w:szCs w:val="21"/>
        </w:rPr>
        <w:t xml:space="preserve">, no certificate under the </w:t>
      </w:r>
      <w:r w:rsidR="00021A20">
        <w:rPr>
          <w:sz w:val="21"/>
          <w:szCs w:val="21"/>
        </w:rPr>
        <w:t xml:space="preserve">In-Vitro Diagnostics </w:t>
      </w:r>
      <w:r>
        <w:rPr>
          <w:sz w:val="21"/>
          <w:szCs w:val="21"/>
        </w:rPr>
        <w:t xml:space="preserve">Medical Device </w:t>
      </w:r>
      <w:r w:rsidRPr="00B44C9B">
        <w:rPr>
          <w:sz w:val="21"/>
          <w:szCs w:val="21"/>
        </w:rPr>
        <w:t>Directive 9</w:t>
      </w:r>
      <w:r w:rsidR="00021A20">
        <w:rPr>
          <w:sz w:val="21"/>
          <w:szCs w:val="21"/>
        </w:rPr>
        <w:t>8</w:t>
      </w:r>
      <w:r w:rsidRPr="00B44C9B">
        <w:rPr>
          <w:sz w:val="21"/>
          <w:szCs w:val="21"/>
        </w:rPr>
        <w:t>/</w:t>
      </w:r>
      <w:r w:rsidR="00021A20">
        <w:rPr>
          <w:sz w:val="21"/>
          <w:szCs w:val="21"/>
        </w:rPr>
        <w:t>79</w:t>
      </w:r>
      <w:r w:rsidRPr="00B44C9B">
        <w:rPr>
          <w:sz w:val="21"/>
          <w:szCs w:val="21"/>
        </w:rPr>
        <w:t>/EC is allowed to be issued anymore. Consequently, pursuant to guidance MDCG 202</w:t>
      </w:r>
      <w:r w:rsidR="00021A20">
        <w:rPr>
          <w:sz w:val="21"/>
          <w:szCs w:val="21"/>
        </w:rPr>
        <w:t>2</w:t>
      </w:r>
      <w:r w:rsidRPr="00B44C9B">
        <w:rPr>
          <w:sz w:val="21"/>
          <w:szCs w:val="21"/>
        </w:rPr>
        <w:t>-</w:t>
      </w:r>
      <w:r w:rsidR="00021A20">
        <w:rPr>
          <w:sz w:val="21"/>
          <w:szCs w:val="21"/>
        </w:rPr>
        <w:t>XX</w:t>
      </w:r>
      <w:r>
        <w:rPr>
          <w:sz w:val="21"/>
          <w:szCs w:val="21"/>
        </w:rPr>
        <w:t xml:space="preserve"> </w:t>
      </w:r>
      <w:r w:rsidRPr="001A28C5">
        <w:rPr>
          <w:sz w:val="21"/>
          <w:szCs w:val="21"/>
        </w:rPr>
        <w:t>(</w:t>
      </w:r>
      <w:r w:rsidR="00021A20" w:rsidRPr="00021A20">
        <w:rPr>
          <w:sz w:val="21"/>
          <w:szCs w:val="21"/>
        </w:rPr>
        <w:t>Guidance on significant changes regarding the 1 transitional provision under Article 110(3) of the IVDR</w:t>
      </w:r>
      <w:r w:rsidRPr="00021A20">
        <w:rPr>
          <w:sz w:val="21"/>
          <w:szCs w:val="21"/>
        </w:rPr>
        <w:t xml:space="preserve">), this decision is valid together with and complements the </w:t>
      </w:r>
      <w:r w:rsidR="008B69D7" w:rsidRPr="00021A20">
        <w:rPr>
          <w:sz w:val="21"/>
          <w:szCs w:val="21"/>
        </w:rPr>
        <w:t>above-mentioned</w:t>
      </w:r>
      <w:r w:rsidRPr="00021A20">
        <w:rPr>
          <w:sz w:val="21"/>
          <w:szCs w:val="21"/>
        </w:rPr>
        <w:t xml:space="preserve"> certificate.</w:t>
      </w: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as a Notified Body will continue to perform the surveillance activities for certificates according to &lt;</w:t>
      </w:r>
      <w:proofErr w:type="spellStart"/>
      <w:r>
        <w:rPr>
          <w:rFonts w:ascii="Arial" w:hAnsi="Arial" w:cs="Arial"/>
          <w:sz w:val="21"/>
          <w:szCs w:val="21"/>
        </w:rPr>
        <w:t>e.</w:t>
      </w:r>
      <w:proofErr w:type="gramStart"/>
      <w:r>
        <w:rPr>
          <w:rFonts w:ascii="Arial" w:hAnsi="Arial" w:cs="Arial"/>
          <w:sz w:val="21"/>
          <w:szCs w:val="21"/>
        </w:rPr>
        <w:t>g.Directive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9</w:t>
      </w:r>
      <w:r w:rsidR="00021A20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/</w:t>
      </w:r>
      <w:r w:rsidR="00021A20">
        <w:rPr>
          <w:rFonts w:ascii="Arial" w:hAnsi="Arial" w:cs="Arial"/>
          <w:sz w:val="21"/>
          <w:szCs w:val="21"/>
        </w:rPr>
        <w:t>79</w:t>
      </w:r>
      <w:r>
        <w:rPr>
          <w:rFonts w:ascii="Arial" w:hAnsi="Arial" w:cs="Arial"/>
          <w:sz w:val="21"/>
          <w:szCs w:val="21"/>
        </w:rPr>
        <w:t xml:space="preserve">/EC&gt; issued by </w:t>
      </w:r>
      <w:r w:rsidRPr="00B44C9B">
        <w:rPr>
          <w:rFonts w:ascii="Arial" w:hAnsi="Arial" w:cs="Arial"/>
          <w:sz w:val="21"/>
          <w:szCs w:val="21"/>
        </w:rPr>
        <w:t xml:space="preserve">&lt;Name of Notified Body, </w:t>
      </w:r>
      <w:proofErr w:type="spellStart"/>
      <w:r>
        <w:rPr>
          <w:rFonts w:ascii="Arial" w:hAnsi="Arial" w:cs="Arial"/>
          <w:sz w:val="21"/>
          <w:szCs w:val="21"/>
        </w:rPr>
        <w:t>NBxxxx</w:t>
      </w:r>
      <w:proofErr w:type="spellEnd"/>
      <w:r w:rsidRPr="00B44C9B">
        <w:rPr>
          <w:rFonts w:ascii="Arial" w:hAnsi="Arial" w:cs="Arial"/>
          <w:sz w:val="21"/>
          <w:szCs w:val="21"/>
        </w:rPr>
        <w:t xml:space="preserve"> &gt;</w:t>
      </w:r>
      <w:r>
        <w:rPr>
          <w:rFonts w:ascii="Arial" w:hAnsi="Arial" w:cs="Arial"/>
          <w:sz w:val="21"/>
          <w:szCs w:val="21"/>
        </w:rPr>
        <w:t>, which are still valid, as laid out in Regulation (EU) 2017/74</w:t>
      </w:r>
      <w:r w:rsidR="00021A20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, Article 1</w:t>
      </w:r>
      <w:r w:rsidR="00021A20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 (3).</w:t>
      </w:r>
    </w:p>
    <w:p w:rsidR="00AC4A3A" w:rsidRPr="00B44C9B" w:rsidRDefault="00AC4A3A" w:rsidP="00AC4A3A"/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  <w:r w:rsidRPr="00B44C9B">
        <w:rPr>
          <w:rFonts w:ascii="Arial" w:hAnsi="Arial" w:cs="Arial"/>
          <w:sz w:val="21"/>
          <w:szCs w:val="21"/>
        </w:rPr>
        <w:t xml:space="preserve">&lt;Name of Notified Body, </w:t>
      </w:r>
      <w:proofErr w:type="spellStart"/>
      <w:r>
        <w:rPr>
          <w:rFonts w:ascii="Arial" w:hAnsi="Arial" w:cs="Arial"/>
          <w:sz w:val="21"/>
          <w:szCs w:val="21"/>
        </w:rPr>
        <w:t>NBxxxx</w:t>
      </w:r>
      <w:proofErr w:type="spellEnd"/>
      <w:r w:rsidRPr="00B44C9B">
        <w:rPr>
          <w:rFonts w:ascii="Arial" w:hAnsi="Arial" w:cs="Arial"/>
          <w:sz w:val="21"/>
          <w:szCs w:val="21"/>
        </w:rPr>
        <w:t xml:space="preserve"> &gt;</w:t>
      </w:r>
      <w:r>
        <w:rPr>
          <w:rFonts w:ascii="Arial" w:hAnsi="Arial" w:cs="Arial"/>
          <w:sz w:val="21"/>
          <w:szCs w:val="21"/>
        </w:rPr>
        <w:t xml:space="preserve"> hereby confirms that the </w:t>
      </w:r>
      <w:r w:rsidR="00020BDF">
        <w:rPr>
          <w:rFonts w:ascii="Arial" w:hAnsi="Arial" w:cs="Arial"/>
          <w:sz w:val="21"/>
          <w:szCs w:val="21"/>
        </w:rPr>
        <w:t>above-mentioned</w:t>
      </w:r>
      <w:r>
        <w:rPr>
          <w:rFonts w:ascii="Arial" w:hAnsi="Arial" w:cs="Arial"/>
          <w:sz w:val="21"/>
          <w:szCs w:val="21"/>
        </w:rPr>
        <w:t xml:space="preserve"> EC-Certificate has been issued to the </w:t>
      </w:r>
      <w:r w:rsidR="00020BDF">
        <w:rPr>
          <w:rFonts w:ascii="Arial" w:hAnsi="Arial" w:cs="Arial"/>
          <w:sz w:val="21"/>
          <w:szCs w:val="21"/>
        </w:rPr>
        <w:t>above-mentioned</w:t>
      </w:r>
      <w:r>
        <w:rPr>
          <w:rFonts w:ascii="Arial" w:hAnsi="Arial" w:cs="Arial"/>
          <w:sz w:val="21"/>
          <w:szCs w:val="21"/>
        </w:rPr>
        <w:t xml:space="preserve"> client and is still valid with the mentioned changes.</w:t>
      </w: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(optional) </w:t>
      </w:r>
      <w:r w:rsidRPr="00B44C9B">
        <w:rPr>
          <w:rFonts w:ascii="Arial" w:hAnsi="Arial" w:cs="Arial"/>
          <w:sz w:val="21"/>
          <w:szCs w:val="21"/>
        </w:rPr>
        <w:t xml:space="preserve">&lt;Name of Notified Body, </w:t>
      </w:r>
      <w:r>
        <w:rPr>
          <w:rFonts w:ascii="Arial" w:hAnsi="Arial" w:cs="Arial"/>
          <w:sz w:val="21"/>
          <w:szCs w:val="21"/>
        </w:rPr>
        <w:t>NB</w:t>
      </w:r>
      <w:r w:rsidR="00F33365">
        <w:rPr>
          <w:rFonts w:ascii="Arial" w:hAnsi="Arial" w:cs="Arial"/>
          <w:sz w:val="21"/>
          <w:szCs w:val="21"/>
        </w:rPr>
        <w:t>xxxx</w:t>
      </w:r>
      <w:r w:rsidRPr="00B44C9B">
        <w:rPr>
          <w:rFonts w:ascii="Arial" w:hAnsi="Arial" w:cs="Arial"/>
          <w:sz w:val="21"/>
          <w:szCs w:val="21"/>
        </w:rPr>
        <w:t>.&gt;</w:t>
      </w:r>
      <w:r>
        <w:rPr>
          <w:rFonts w:ascii="Arial" w:hAnsi="Arial" w:cs="Arial"/>
          <w:sz w:val="21"/>
          <w:szCs w:val="21"/>
        </w:rPr>
        <w:t xml:space="preserve"> hereby confirms that the following products/product types </w:t>
      </w:r>
      <w:r w:rsidR="00020BDF">
        <w:rPr>
          <w:rFonts w:ascii="Arial" w:hAnsi="Arial" w:cs="Arial"/>
          <w:sz w:val="21"/>
          <w:szCs w:val="21"/>
        </w:rPr>
        <w:t>&lt;</w:t>
      </w:r>
      <w:r>
        <w:rPr>
          <w:rFonts w:ascii="Arial" w:hAnsi="Arial" w:cs="Arial"/>
          <w:sz w:val="21"/>
          <w:szCs w:val="21"/>
        </w:rPr>
        <w:t xml:space="preserve">were removed from </w:t>
      </w:r>
      <w:r w:rsidRPr="00AE69FC">
        <w:rPr>
          <w:rFonts w:ascii="Arial" w:hAnsi="Arial" w:cs="Arial"/>
          <w:sz w:val="21"/>
          <w:szCs w:val="21"/>
        </w:rPr>
        <w:t xml:space="preserve">[CERTIFICATE </w:t>
      </w:r>
      <w:proofErr w:type="gramStart"/>
      <w:r w:rsidRPr="00AE69FC">
        <w:rPr>
          <w:rFonts w:ascii="Arial" w:hAnsi="Arial" w:cs="Arial"/>
          <w:sz w:val="21"/>
          <w:szCs w:val="21"/>
        </w:rPr>
        <w:t>NUMBER]:</w:t>
      </w:r>
      <w:r>
        <w:rPr>
          <w:rFonts w:ascii="Arial" w:hAnsi="Arial" w:cs="Arial"/>
          <w:sz w:val="21"/>
          <w:szCs w:val="21"/>
        </w:rPr>
        <w:t>/</w:t>
      </w:r>
      <w:proofErr w:type="gramEnd"/>
      <w:r>
        <w:rPr>
          <w:rFonts w:ascii="Arial" w:hAnsi="Arial" w:cs="Arial"/>
          <w:sz w:val="21"/>
          <w:szCs w:val="21"/>
        </w:rPr>
        <w:t xml:space="preserve"> are covered under</w:t>
      </w:r>
      <w:r w:rsidR="00020BDF">
        <w:rPr>
          <w:rFonts w:ascii="Arial" w:hAnsi="Arial" w:cs="Arial"/>
          <w:sz w:val="21"/>
          <w:szCs w:val="21"/>
        </w:rPr>
        <w:t>&gt;</w:t>
      </w:r>
      <w:r>
        <w:rPr>
          <w:rFonts w:ascii="Arial" w:hAnsi="Arial" w:cs="Arial"/>
          <w:sz w:val="21"/>
          <w:szCs w:val="21"/>
        </w:rPr>
        <w:t xml:space="preserve"> [CERTIFICATE NUMBER]:</w:t>
      </w:r>
    </w:p>
    <w:p w:rsidR="00020BDF" w:rsidRDefault="00020BDF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pStyle w:val="Paragraphedeliste"/>
        <w:numPr>
          <w:ilvl w:val="0"/>
          <w:numId w:val="8"/>
        </w:numPr>
        <w:autoSpaceDE w:val="0"/>
        <w:autoSpaceDN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[name product model 1]</w:t>
      </w:r>
    </w:p>
    <w:p w:rsidR="00AC4A3A" w:rsidRDefault="00AC4A3A" w:rsidP="00AC4A3A">
      <w:pPr>
        <w:pStyle w:val="Paragraphedeliste"/>
        <w:numPr>
          <w:ilvl w:val="0"/>
          <w:numId w:val="8"/>
        </w:numPr>
        <w:autoSpaceDE w:val="0"/>
        <w:autoSpaceDN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[name product model 2]</w:t>
      </w:r>
    </w:p>
    <w:p w:rsidR="00AC4A3A" w:rsidRPr="003723EC" w:rsidRDefault="00AC4A3A" w:rsidP="00AC4A3A">
      <w:pPr>
        <w:pStyle w:val="Paragraphedeliste"/>
        <w:numPr>
          <w:ilvl w:val="0"/>
          <w:numId w:val="8"/>
        </w:numPr>
        <w:autoSpaceDE w:val="0"/>
        <w:autoSpaceDN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[name product model 3]</w:t>
      </w: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  <w:r w:rsidRPr="00B44C9B">
        <w:rPr>
          <w:rFonts w:ascii="Arial" w:hAnsi="Arial" w:cs="Arial"/>
          <w:sz w:val="21"/>
          <w:szCs w:val="21"/>
        </w:rPr>
        <w:t xml:space="preserve">&lt;Name of Notified Body, </w:t>
      </w:r>
      <w:proofErr w:type="spellStart"/>
      <w:r>
        <w:rPr>
          <w:rFonts w:ascii="Arial" w:hAnsi="Arial" w:cs="Arial"/>
          <w:sz w:val="21"/>
          <w:szCs w:val="21"/>
        </w:rPr>
        <w:t>NBxxxx</w:t>
      </w:r>
      <w:proofErr w:type="spellEnd"/>
      <w:r w:rsidRPr="00B44C9B">
        <w:rPr>
          <w:rFonts w:ascii="Arial" w:hAnsi="Arial" w:cs="Arial"/>
          <w:sz w:val="21"/>
          <w:szCs w:val="21"/>
        </w:rPr>
        <w:t xml:space="preserve"> &gt; hereby </w:t>
      </w:r>
      <w:r>
        <w:rPr>
          <w:rFonts w:ascii="Arial" w:hAnsi="Arial" w:cs="Arial"/>
          <w:sz w:val="21"/>
          <w:szCs w:val="21"/>
        </w:rPr>
        <w:t>confirms</w:t>
      </w:r>
      <w:r w:rsidRPr="00B44C9B">
        <w:rPr>
          <w:rFonts w:ascii="Arial" w:hAnsi="Arial" w:cs="Arial"/>
          <w:sz w:val="21"/>
          <w:szCs w:val="21"/>
        </w:rPr>
        <w:t xml:space="preserve"> that the afore</w:t>
      </w:r>
      <w:r>
        <w:rPr>
          <w:rFonts w:ascii="Arial" w:hAnsi="Arial" w:cs="Arial"/>
          <w:sz w:val="21"/>
          <w:szCs w:val="21"/>
        </w:rPr>
        <w:t xml:space="preserve"> </w:t>
      </w:r>
      <w:r w:rsidRPr="00B44C9B">
        <w:rPr>
          <w:rFonts w:ascii="Arial" w:hAnsi="Arial" w:cs="Arial"/>
          <w:sz w:val="21"/>
          <w:szCs w:val="21"/>
        </w:rPr>
        <w:t>mentioned change is not considered a significant change in the design and/or intended purpose</w:t>
      </w:r>
      <w:r>
        <w:rPr>
          <w:rFonts w:ascii="Arial" w:hAnsi="Arial" w:cs="Arial"/>
          <w:sz w:val="21"/>
          <w:szCs w:val="21"/>
        </w:rPr>
        <w:t xml:space="preserve"> as described in Regulation (EU) 2017/74</w:t>
      </w:r>
      <w:r w:rsidR="008B69D7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, Article 1</w:t>
      </w:r>
      <w:r w:rsidR="008B69D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 (3)</w:t>
      </w:r>
      <w:r w:rsidRPr="00B44C9B">
        <w:rPr>
          <w:rFonts w:ascii="Arial" w:hAnsi="Arial" w:cs="Arial"/>
          <w:sz w:val="21"/>
          <w:szCs w:val="21"/>
        </w:rPr>
        <w:t>. The evaluation of documents related to</w:t>
      </w:r>
      <w:r>
        <w:rPr>
          <w:rFonts w:ascii="Arial" w:hAnsi="Arial" w:cs="Arial"/>
          <w:sz w:val="21"/>
          <w:szCs w:val="21"/>
        </w:rPr>
        <w:t xml:space="preserve"> the change has been completed and approved.</w:t>
      </w: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Date:</w:t>
      </w: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AC4A3A" w:rsidRDefault="00AC4A3A" w:rsidP="00AC4A3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Signature(s)</w:t>
      </w:r>
    </w:p>
    <w:p w:rsidR="00AC4A3A" w:rsidRPr="002355D3" w:rsidRDefault="00AC4A3A" w:rsidP="002355D3">
      <w:pPr>
        <w:ind w:left="360"/>
        <w:rPr>
          <w:rFonts w:ascii="Calibri" w:eastAsia="SimHei" w:hAnsi="Calibri" w:cs="Calibri"/>
          <w:b/>
          <w:sz w:val="22"/>
          <w:szCs w:val="22"/>
          <w:lang w:eastAsia="zh-CN"/>
        </w:rPr>
      </w:pPr>
    </w:p>
    <w:sectPr w:rsidR="00AC4A3A" w:rsidRPr="002355D3" w:rsidSect="002C6F22">
      <w:footerReference w:type="default" r:id="rId12"/>
      <w:pgSz w:w="11906" w:h="16838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17" w:rsidRDefault="00007F17" w:rsidP="00146558">
      <w:r>
        <w:separator/>
      </w:r>
    </w:p>
  </w:endnote>
  <w:endnote w:type="continuationSeparator" w:id="0">
    <w:p w:rsidR="00007F17" w:rsidRDefault="00007F17" w:rsidP="00146558">
      <w:r>
        <w:continuationSeparator/>
      </w:r>
    </w:p>
  </w:endnote>
  <w:endnote w:type="continuationNotice" w:id="1">
    <w:p w:rsidR="00007F17" w:rsidRDefault="00007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893"/>
      <w:gridCol w:w="1328"/>
    </w:tblGrid>
    <w:tr w:rsidR="003C5B8D" w:rsidRPr="00E012A3" w:rsidTr="00C87FBA">
      <w:trPr>
        <w:cantSplit/>
        <w:jc w:val="center"/>
      </w:trPr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C5B8D" w:rsidRPr="00E012A3" w:rsidRDefault="00762A94" w:rsidP="003C5B8D">
          <w:pPr>
            <w:pStyle w:val="Pieddepage"/>
            <w:tabs>
              <w:tab w:val="left" w:pos="1418"/>
            </w:tabs>
            <w:rPr>
              <w:rFonts w:ascii="Calibri" w:hAnsi="Calibri"/>
              <w:sz w:val="17"/>
            </w:rPr>
          </w:pPr>
          <w:r>
            <w:rPr>
              <w:rFonts w:ascii="Calibri" w:hAnsi="Calibri"/>
              <w:b/>
              <w:snapToGrid w:val="0"/>
              <w:sz w:val="19"/>
            </w:rPr>
            <w:t>NBCG-MED</w:t>
          </w:r>
        </w:p>
      </w:tc>
      <w:tc>
        <w:tcPr>
          <w:tcW w:w="68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C5B8D" w:rsidRPr="00E012A3" w:rsidRDefault="009B01D3" w:rsidP="008B3B90">
          <w:pPr>
            <w:pStyle w:val="Pieddepage"/>
            <w:tabs>
              <w:tab w:val="left" w:pos="708"/>
            </w:tabs>
            <w:rPr>
              <w:rFonts w:ascii="Calibri" w:hAnsi="Calibri"/>
              <w:snapToGrid w:val="0"/>
              <w:sz w:val="16"/>
            </w:rPr>
          </w:pPr>
          <w:r w:rsidRPr="009B01D3">
            <w:rPr>
              <w:rFonts w:ascii="Calibri" w:hAnsi="Calibri" w:cs="Calibri"/>
              <w:sz w:val="18"/>
              <w:szCs w:val="18"/>
            </w:rPr>
            <w:t xml:space="preserve">Standardized confirmation letter for correcting or complementing information on existing </w:t>
          </w:r>
          <w:r w:rsidR="008B69D7">
            <w:rPr>
              <w:rFonts w:ascii="Calibri" w:hAnsi="Calibri" w:cs="Calibri"/>
              <w:sz w:val="18"/>
              <w:szCs w:val="18"/>
            </w:rPr>
            <w:t>IVDD</w:t>
          </w:r>
          <w:r w:rsidRPr="009B01D3">
            <w:rPr>
              <w:rFonts w:ascii="Calibri" w:hAnsi="Calibri" w:cs="Calibri"/>
              <w:sz w:val="18"/>
              <w:szCs w:val="18"/>
            </w:rPr>
            <w:t xml:space="preserve"> certificates</w:t>
          </w:r>
        </w:p>
      </w:tc>
      <w:tc>
        <w:tcPr>
          <w:tcW w:w="13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C5B8D" w:rsidRPr="00E012A3" w:rsidRDefault="003C5B8D" w:rsidP="003C5B8D">
          <w:pPr>
            <w:pStyle w:val="Pieddepage"/>
            <w:tabs>
              <w:tab w:val="left" w:pos="1418"/>
            </w:tabs>
            <w:ind w:left="-373"/>
            <w:jc w:val="right"/>
            <w:rPr>
              <w:rFonts w:ascii="Calibri" w:hAnsi="Calibri"/>
              <w:snapToGrid w:val="0"/>
              <w:sz w:val="16"/>
            </w:rPr>
          </w:pPr>
          <w:r w:rsidRPr="00E012A3">
            <w:rPr>
              <w:rFonts w:ascii="Calibri" w:hAnsi="Calibri"/>
              <w:sz w:val="17"/>
            </w:rPr>
            <w:t xml:space="preserve">Page </w:t>
          </w:r>
          <w:r w:rsidRPr="00E012A3">
            <w:rPr>
              <w:rFonts w:ascii="Calibri" w:hAnsi="Calibri"/>
              <w:sz w:val="17"/>
            </w:rPr>
            <w:fldChar w:fldCharType="begin"/>
          </w:r>
          <w:r w:rsidRPr="00E012A3">
            <w:rPr>
              <w:rFonts w:ascii="Calibri" w:hAnsi="Calibri"/>
              <w:sz w:val="17"/>
            </w:rPr>
            <w:instrText xml:space="preserve"> </w:instrText>
          </w:r>
          <w:r>
            <w:rPr>
              <w:rFonts w:ascii="Calibri" w:hAnsi="Calibri"/>
              <w:sz w:val="17"/>
            </w:rPr>
            <w:instrText>PAGE</w:instrText>
          </w:r>
          <w:r w:rsidRPr="00E012A3">
            <w:rPr>
              <w:rFonts w:ascii="Calibri" w:hAnsi="Calibri"/>
              <w:sz w:val="17"/>
            </w:rPr>
            <w:instrText xml:space="preserve"> </w:instrText>
          </w:r>
          <w:r w:rsidRPr="00E012A3">
            <w:rPr>
              <w:rFonts w:ascii="Calibri" w:hAnsi="Calibri"/>
              <w:sz w:val="17"/>
            </w:rPr>
            <w:fldChar w:fldCharType="separate"/>
          </w:r>
          <w:r w:rsidR="00584A9F">
            <w:rPr>
              <w:rFonts w:ascii="Calibri" w:hAnsi="Calibri"/>
              <w:noProof/>
              <w:sz w:val="17"/>
            </w:rPr>
            <w:t>2</w:t>
          </w:r>
          <w:r w:rsidRPr="00E012A3">
            <w:rPr>
              <w:rFonts w:ascii="Calibri" w:hAnsi="Calibri"/>
              <w:sz w:val="17"/>
            </w:rPr>
            <w:fldChar w:fldCharType="end"/>
          </w:r>
          <w:r w:rsidRPr="00E012A3">
            <w:rPr>
              <w:rFonts w:ascii="Calibri" w:hAnsi="Calibri"/>
              <w:sz w:val="17"/>
            </w:rPr>
            <w:t>/</w:t>
          </w:r>
          <w:r w:rsidRPr="00E012A3">
            <w:rPr>
              <w:rFonts w:ascii="Calibri" w:hAnsi="Calibri"/>
              <w:sz w:val="17"/>
            </w:rPr>
            <w:fldChar w:fldCharType="begin"/>
          </w:r>
          <w:r w:rsidRPr="00E012A3">
            <w:rPr>
              <w:rFonts w:ascii="Calibri" w:hAnsi="Calibri"/>
              <w:sz w:val="17"/>
            </w:rPr>
            <w:instrText xml:space="preserve"> </w:instrText>
          </w:r>
          <w:r>
            <w:rPr>
              <w:rFonts w:ascii="Calibri" w:hAnsi="Calibri"/>
              <w:sz w:val="17"/>
            </w:rPr>
            <w:instrText>NUMPAGES</w:instrText>
          </w:r>
          <w:r w:rsidRPr="00E012A3">
            <w:rPr>
              <w:rFonts w:ascii="Calibri" w:hAnsi="Calibri"/>
              <w:sz w:val="17"/>
            </w:rPr>
            <w:instrText xml:space="preserve"> </w:instrText>
          </w:r>
          <w:r w:rsidRPr="00E012A3">
            <w:rPr>
              <w:rFonts w:ascii="Calibri" w:hAnsi="Calibri"/>
              <w:sz w:val="17"/>
            </w:rPr>
            <w:fldChar w:fldCharType="separate"/>
          </w:r>
          <w:r w:rsidR="00584A9F">
            <w:rPr>
              <w:rFonts w:ascii="Calibri" w:hAnsi="Calibri"/>
              <w:noProof/>
              <w:sz w:val="17"/>
            </w:rPr>
            <w:t>2</w:t>
          </w:r>
          <w:r w:rsidRPr="00E012A3">
            <w:rPr>
              <w:rFonts w:ascii="Calibri" w:hAnsi="Calibri"/>
              <w:sz w:val="17"/>
            </w:rPr>
            <w:fldChar w:fldCharType="end"/>
          </w:r>
        </w:p>
      </w:tc>
    </w:tr>
  </w:tbl>
  <w:p w:rsidR="003C5B8D" w:rsidRDefault="003C5B8D" w:rsidP="003C5B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17" w:rsidRDefault="00007F17" w:rsidP="00146558">
      <w:r>
        <w:separator/>
      </w:r>
    </w:p>
  </w:footnote>
  <w:footnote w:type="continuationSeparator" w:id="0">
    <w:p w:rsidR="00007F17" w:rsidRDefault="00007F17" w:rsidP="00146558">
      <w:r>
        <w:continuationSeparator/>
      </w:r>
    </w:p>
  </w:footnote>
  <w:footnote w:type="continuationNotice" w:id="1">
    <w:p w:rsidR="00007F17" w:rsidRDefault="00007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F69"/>
    <w:multiLevelType w:val="hybridMultilevel"/>
    <w:tmpl w:val="61AA4016"/>
    <w:lvl w:ilvl="0" w:tplc="B6E4F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44C"/>
    <w:multiLevelType w:val="hybridMultilevel"/>
    <w:tmpl w:val="5DA2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B17"/>
    <w:multiLevelType w:val="hybridMultilevel"/>
    <w:tmpl w:val="9C588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6715"/>
    <w:multiLevelType w:val="hybridMultilevel"/>
    <w:tmpl w:val="B37AC4C8"/>
    <w:lvl w:ilvl="0" w:tplc="75EC5A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6F64"/>
    <w:multiLevelType w:val="hybridMultilevel"/>
    <w:tmpl w:val="DD84B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4731"/>
    <w:multiLevelType w:val="hybridMultilevel"/>
    <w:tmpl w:val="D55A8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A5224"/>
    <w:multiLevelType w:val="hybridMultilevel"/>
    <w:tmpl w:val="CF9A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495E"/>
    <w:multiLevelType w:val="hybridMultilevel"/>
    <w:tmpl w:val="D1D4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F2"/>
    <w:rsid w:val="0000005B"/>
    <w:rsid w:val="00001E55"/>
    <w:rsid w:val="00005EF2"/>
    <w:rsid w:val="00007EAD"/>
    <w:rsid w:val="00007F17"/>
    <w:rsid w:val="00016B20"/>
    <w:rsid w:val="00020BDF"/>
    <w:rsid w:val="000214F3"/>
    <w:rsid w:val="00021A20"/>
    <w:rsid w:val="00036AFF"/>
    <w:rsid w:val="0004605F"/>
    <w:rsid w:val="000475A5"/>
    <w:rsid w:val="00052286"/>
    <w:rsid w:val="000603D0"/>
    <w:rsid w:val="000652F5"/>
    <w:rsid w:val="0006530C"/>
    <w:rsid w:val="0006693A"/>
    <w:rsid w:val="000807FD"/>
    <w:rsid w:val="0008514B"/>
    <w:rsid w:val="0008585C"/>
    <w:rsid w:val="000C2EEA"/>
    <w:rsid w:val="000E16D9"/>
    <w:rsid w:val="000E3F6B"/>
    <w:rsid w:val="000F3337"/>
    <w:rsid w:val="000F3ECE"/>
    <w:rsid w:val="00100181"/>
    <w:rsid w:val="00101DB4"/>
    <w:rsid w:val="00103241"/>
    <w:rsid w:val="001077E5"/>
    <w:rsid w:val="00115684"/>
    <w:rsid w:val="001238D7"/>
    <w:rsid w:val="00135945"/>
    <w:rsid w:val="00141B8F"/>
    <w:rsid w:val="00146558"/>
    <w:rsid w:val="001557DB"/>
    <w:rsid w:val="0019003F"/>
    <w:rsid w:val="001932B7"/>
    <w:rsid w:val="001A522E"/>
    <w:rsid w:val="001B41E8"/>
    <w:rsid w:val="001C50AC"/>
    <w:rsid w:val="00206627"/>
    <w:rsid w:val="00206871"/>
    <w:rsid w:val="002137B1"/>
    <w:rsid w:val="002142C9"/>
    <w:rsid w:val="00224B66"/>
    <w:rsid w:val="00225877"/>
    <w:rsid w:val="00227D97"/>
    <w:rsid w:val="002355D3"/>
    <w:rsid w:val="00243B4C"/>
    <w:rsid w:val="0025193B"/>
    <w:rsid w:val="00255BE7"/>
    <w:rsid w:val="002908F7"/>
    <w:rsid w:val="002A4376"/>
    <w:rsid w:val="002B2DE5"/>
    <w:rsid w:val="002B4AF4"/>
    <w:rsid w:val="002C424F"/>
    <w:rsid w:val="002C6F22"/>
    <w:rsid w:val="002D2A99"/>
    <w:rsid w:val="002D347A"/>
    <w:rsid w:val="002F47A2"/>
    <w:rsid w:val="00303E01"/>
    <w:rsid w:val="0030507B"/>
    <w:rsid w:val="003072B5"/>
    <w:rsid w:val="003074BB"/>
    <w:rsid w:val="00315170"/>
    <w:rsid w:val="0032061C"/>
    <w:rsid w:val="0033667B"/>
    <w:rsid w:val="0034370C"/>
    <w:rsid w:val="003502E1"/>
    <w:rsid w:val="00353A73"/>
    <w:rsid w:val="00361DC4"/>
    <w:rsid w:val="00375C22"/>
    <w:rsid w:val="00383C3A"/>
    <w:rsid w:val="0039067E"/>
    <w:rsid w:val="00391752"/>
    <w:rsid w:val="003A1216"/>
    <w:rsid w:val="003C5B8D"/>
    <w:rsid w:val="003D1DFE"/>
    <w:rsid w:val="003D221A"/>
    <w:rsid w:val="003F4A78"/>
    <w:rsid w:val="004012A8"/>
    <w:rsid w:val="00401C64"/>
    <w:rsid w:val="00405419"/>
    <w:rsid w:val="00406297"/>
    <w:rsid w:val="0040690E"/>
    <w:rsid w:val="00407742"/>
    <w:rsid w:val="004144F2"/>
    <w:rsid w:val="00420C10"/>
    <w:rsid w:val="00427ABE"/>
    <w:rsid w:val="00441011"/>
    <w:rsid w:val="0044121A"/>
    <w:rsid w:val="004452D6"/>
    <w:rsid w:val="00446CC2"/>
    <w:rsid w:val="00461D37"/>
    <w:rsid w:val="00462311"/>
    <w:rsid w:val="00465AFC"/>
    <w:rsid w:val="004733A2"/>
    <w:rsid w:val="004901D8"/>
    <w:rsid w:val="0049299E"/>
    <w:rsid w:val="004B75DE"/>
    <w:rsid w:val="004C07E1"/>
    <w:rsid w:val="004C1C28"/>
    <w:rsid w:val="004D588F"/>
    <w:rsid w:val="004E1597"/>
    <w:rsid w:val="004E3E67"/>
    <w:rsid w:val="004E50A2"/>
    <w:rsid w:val="004F7CB5"/>
    <w:rsid w:val="005029D3"/>
    <w:rsid w:val="00510536"/>
    <w:rsid w:val="00516F05"/>
    <w:rsid w:val="00525824"/>
    <w:rsid w:val="00536F21"/>
    <w:rsid w:val="0055097A"/>
    <w:rsid w:val="00563660"/>
    <w:rsid w:val="005643D1"/>
    <w:rsid w:val="0057343C"/>
    <w:rsid w:val="0057565E"/>
    <w:rsid w:val="005760B1"/>
    <w:rsid w:val="00580FF5"/>
    <w:rsid w:val="005824DA"/>
    <w:rsid w:val="00584A9F"/>
    <w:rsid w:val="00591442"/>
    <w:rsid w:val="005925AD"/>
    <w:rsid w:val="005977A3"/>
    <w:rsid w:val="005B13C4"/>
    <w:rsid w:val="005C154C"/>
    <w:rsid w:val="005C309D"/>
    <w:rsid w:val="005C699F"/>
    <w:rsid w:val="005E0840"/>
    <w:rsid w:val="005E1D72"/>
    <w:rsid w:val="005F1D61"/>
    <w:rsid w:val="005F2541"/>
    <w:rsid w:val="005F61A4"/>
    <w:rsid w:val="0061042F"/>
    <w:rsid w:val="006476E3"/>
    <w:rsid w:val="0065195A"/>
    <w:rsid w:val="00666686"/>
    <w:rsid w:val="006A60A7"/>
    <w:rsid w:val="006B04D0"/>
    <w:rsid w:val="006B3A35"/>
    <w:rsid w:val="006C197F"/>
    <w:rsid w:val="006C3329"/>
    <w:rsid w:val="006C754A"/>
    <w:rsid w:val="006E61B3"/>
    <w:rsid w:val="00721859"/>
    <w:rsid w:val="00722F03"/>
    <w:rsid w:val="00734B21"/>
    <w:rsid w:val="007361B5"/>
    <w:rsid w:val="00752609"/>
    <w:rsid w:val="00757351"/>
    <w:rsid w:val="00761039"/>
    <w:rsid w:val="00762A94"/>
    <w:rsid w:val="007901CC"/>
    <w:rsid w:val="007A0B8A"/>
    <w:rsid w:val="007B17CD"/>
    <w:rsid w:val="007B7A59"/>
    <w:rsid w:val="007C4B87"/>
    <w:rsid w:val="007C4C1C"/>
    <w:rsid w:val="007D1EF7"/>
    <w:rsid w:val="007E3CE0"/>
    <w:rsid w:val="007F5604"/>
    <w:rsid w:val="008001E5"/>
    <w:rsid w:val="0082277A"/>
    <w:rsid w:val="00826461"/>
    <w:rsid w:val="00844897"/>
    <w:rsid w:val="00844E0F"/>
    <w:rsid w:val="008456BA"/>
    <w:rsid w:val="00846E78"/>
    <w:rsid w:val="00847E15"/>
    <w:rsid w:val="00855681"/>
    <w:rsid w:val="00894E54"/>
    <w:rsid w:val="008971B1"/>
    <w:rsid w:val="008A66C3"/>
    <w:rsid w:val="008A6B29"/>
    <w:rsid w:val="008A79AD"/>
    <w:rsid w:val="008A7A76"/>
    <w:rsid w:val="008B3B90"/>
    <w:rsid w:val="008B69D7"/>
    <w:rsid w:val="008C6A7B"/>
    <w:rsid w:val="008D0FEB"/>
    <w:rsid w:val="008D212B"/>
    <w:rsid w:val="008F5CFC"/>
    <w:rsid w:val="009018DB"/>
    <w:rsid w:val="00903347"/>
    <w:rsid w:val="00907F4D"/>
    <w:rsid w:val="0091399E"/>
    <w:rsid w:val="00923A28"/>
    <w:rsid w:val="00941723"/>
    <w:rsid w:val="0094274B"/>
    <w:rsid w:val="00946D98"/>
    <w:rsid w:val="00962E8C"/>
    <w:rsid w:val="0096624E"/>
    <w:rsid w:val="00985372"/>
    <w:rsid w:val="009902B1"/>
    <w:rsid w:val="00991B8F"/>
    <w:rsid w:val="00995916"/>
    <w:rsid w:val="009A09FD"/>
    <w:rsid w:val="009A3370"/>
    <w:rsid w:val="009A4BFB"/>
    <w:rsid w:val="009B01D3"/>
    <w:rsid w:val="009B07F2"/>
    <w:rsid w:val="009C19F0"/>
    <w:rsid w:val="009C3EB2"/>
    <w:rsid w:val="009D27AC"/>
    <w:rsid w:val="009E47A4"/>
    <w:rsid w:val="009E7469"/>
    <w:rsid w:val="009F0476"/>
    <w:rsid w:val="009F13B0"/>
    <w:rsid w:val="009F679E"/>
    <w:rsid w:val="00A00320"/>
    <w:rsid w:val="00A12949"/>
    <w:rsid w:val="00A1414E"/>
    <w:rsid w:val="00A316BA"/>
    <w:rsid w:val="00A41064"/>
    <w:rsid w:val="00A541AD"/>
    <w:rsid w:val="00A63876"/>
    <w:rsid w:val="00A63976"/>
    <w:rsid w:val="00A76E26"/>
    <w:rsid w:val="00A82E27"/>
    <w:rsid w:val="00A859C5"/>
    <w:rsid w:val="00A85B03"/>
    <w:rsid w:val="00A87D75"/>
    <w:rsid w:val="00A9357A"/>
    <w:rsid w:val="00AA00E4"/>
    <w:rsid w:val="00AA2CC7"/>
    <w:rsid w:val="00AA2FB8"/>
    <w:rsid w:val="00AB2DC6"/>
    <w:rsid w:val="00AB4A2E"/>
    <w:rsid w:val="00AB7532"/>
    <w:rsid w:val="00AB7DB6"/>
    <w:rsid w:val="00AC4A3A"/>
    <w:rsid w:val="00AD338B"/>
    <w:rsid w:val="00AD4EB2"/>
    <w:rsid w:val="00AE7A8E"/>
    <w:rsid w:val="00AF4EDA"/>
    <w:rsid w:val="00B055C8"/>
    <w:rsid w:val="00B15184"/>
    <w:rsid w:val="00B16E56"/>
    <w:rsid w:val="00B3344A"/>
    <w:rsid w:val="00B63284"/>
    <w:rsid w:val="00B70A65"/>
    <w:rsid w:val="00B93BC3"/>
    <w:rsid w:val="00BA6C58"/>
    <w:rsid w:val="00BA6F2D"/>
    <w:rsid w:val="00BB492A"/>
    <w:rsid w:val="00BC0EE1"/>
    <w:rsid w:val="00BD0497"/>
    <w:rsid w:val="00BE00EA"/>
    <w:rsid w:val="00BE207F"/>
    <w:rsid w:val="00BE5BD4"/>
    <w:rsid w:val="00C03D8A"/>
    <w:rsid w:val="00C40254"/>
    <w:rsid w:val="00C47BDB"/>
    <w:rsid w:val="00C52D1B"/>
    <w:rsid w:val="00C64378"/>
    <w:rsid w:val="00C665EA"/>
    <w:rsid w:val="00C67230"/>
    <w:rsid w:val="00C8504F"/>
    <w:rsid w:val="00C87FBA"/>
    <w:rsid w:val="00CA319A"/>
    <w:rsid w:val="00CA5978"/>
    <w:rsid w:val="00CB12A7"/>
    <w:rsid w:val="00CB1D76"/>
    <w:rsid w:val="00CC2AA7"/>
    <w:rsid w:val="00CD3436"/>
    <w:rsid w:val="00CD44B9"/>
    <w:rsid w:val="00CF3E99"/>
    <w:rsid w:val="00D058AE"/>
    <w:rsid w:val="00D14C35"/>
    <w:rsid w:val="00D307D4"/>
    <w:rsid w:val="00D324B7"/>
    <w:rsid w:val="00D42EE4"/>
    <w:rsid w:val="00D45A7D"/>
    <w:rsid w:val="00D610B1"/>
    <w:rsid w:val="00D61E59"/>
    <w:rsid w:val="00D63E20"/>
    <w:rsid w:val="00D642FC"/>
    <w:rsid w:val="00D80ECC"/>
    <w:rsid w:val="00DA1253"/>
    <w:rsid w:val="00DC199A"/>
    <w:rsid w:val="00DC3C35"/>
    <w:rsid w:val="00DD6BC9"/>
    <w:rsid w:val="00DE2B09"/>
    <w:rsid w:val="00DE32F1"/>
    <w:rsid w:val="00DF6153"/>
    <w:rsid w:val="00E15ED5"/>
    <w:rsid w:val="00E35F73"/>
    <w:rsid w:val="00E372D4"/>
    <w:rsid w:val="00E410C7"/>
    <w:rsid w:val="00E44661"/>
    <w:rsid w:val="00E52422"/>
    <w:rsid w:val="00E7256E"/>
    <w:rsid w:val="00E73FE0"/>
    <w:rsid w:val="00E857A7"/>
    <w:rsid w:val="00E879DE"/>
    <w:rsid w:val="00E928E9"/>
    <w:rsid w:val="00EA5E73"/>
    <w:rsid w:val="00EA7D1F"/>
    <w:rsid w:val="00EB301D"/>
    <w:rsid w:val="00ED3F7D"/>
    <w:rsid w:val="00ED4AFE"/>
    <w:rsid w:val="00ED6674"/>
    <w:rsid w:val="00EF7BDB"/>
    <w:rsid w:val="00F143EC"/>
    <w:rsid w:val="00F315E4"/>
    <w:rsid w:val="00F33365"/>
    <w:rsid w:val="00F37037"/>
    <w:rsid w:val="00F40FB7"/>
    <w:rsid w:val="00F4126B"/>
    <w:rsid w:val="00F50638"/>
    <w:rsid w:val="00F6071F"/>
    <w:rsid w:val="00F619D3"/>
    <w:rsid w:val="00F63482"/>
    <w:rsid w:val="00F73B69"/>
    <w:rsid w:val="00F822AF"/>
    <w:rsid w:val="00F93E56"/>
    <w:rsid w:val="00F94490"/>
    <w:rsid w:val="00F955C2"/>
    <w:rsid w:val="00FA0A43"/>
    <w:rsid w:val="00FA29E3"/>
    <w:rsid w:val="00FB4FE5"/>
    <w:rsid w:val="00FB6038"/>
    <w:rsid w:val="00FC58EF"/>
    <w:rsid w:val="00FE2192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B7F0"/>
  <w15:docId w15:val="{3E86A9B0-7807-4EB0-9565-2F0507A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9F"/>
    <w:pPr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316BA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5E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E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E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E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E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EF2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EF2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E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6BA"/>
    <w:rPr>
      <w:rFonts w:asciiTheme="majorHAnsi" w:eastAsiaTheme="majorEastAsia" w:hAnsiTheme="majorHAnsi" w:cstheme="majorBidi"/>
      <w:b/>
      <w:bCs/>
      <w:kern w:val="32"/>
      <w:sz w:val="24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005E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05E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05EF2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05EF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05EF2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05EF2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05EF2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05EF2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8456BA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5E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5E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E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05EF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05EF2"/>
    <w:rPr>
      <w:b/>
      <w:bCs/>
    </w:rPr>
  </w:style>
  <w:style w:type="character" w:styleId="Accentuation">
    <w:name w:val="Emphasis"/>
    <w:basedOn w:val="Policepardfaut"/>
    <w:uiPriority w:val="20"/>
    <w:qFormat/>
    <w:rsid w:val="00005EF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05EF2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05EF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05EF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EF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EF2"/>
    <w:rPr>
      <w:b/>
      <w:i/>
      <w:sz w:val="24"/>
    </w:rPr>
  </w:style>
  <w:style w:type="character" w:styleId="Emphaseple">
    <w:name w:val="Subtle Emphasis"/>
    <w:uiPriority w:val="19"/>
    <w:qFormat/>
    <w:rsid w:val="00005EF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05EF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05EF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05EF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05EF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05EF2"/>
    <w:pPr>
      <w:outlineLvl w:val="9"/>
    </w:pPr>
  </w:style>
  <w:style w:type="paragraph" w:styleId="Paragraphedeliste">
    <w:name w:val="List Paragraph"/>
    <w:basedOn w:val="Normal"/>
    <w:uiPriority w:val="34"/>
    <w:qFormat/>
    <w:rsid w:val="00005EF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65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6558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1465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B2D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2DE5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2DE5"/>
    <w:rPr>
      <w:rFonts w:ascii="Times New Roman" w:eastAsia="Times New Roman" w:hAnsi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D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DE5"/>
    <w:rPr>
      <w:rFonts w:ascii="Segoe UI" w:hAnsi="Segoe UI" w:cs="Segoe UI"/>
      <w:sz w:val="18"/>
      <w:szCs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BC0EE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2F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F03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nhideWhenUsed/>
    <w:rsid w:val="00722F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F03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684"/>
    <w:pPr>
      <w:jc w:val="both"/>
    </w:pPr>
    <w:rPr>
      <w:rFonts w:asciiTheme="minorHAnsi" w:eastAsiaTheme="minorEastAsia" w:hAnsiTheme="minorHAnsi"/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684"/>
    <w:rPr>
      <w:rFonts w:ascii="Times New Roman" w:eastAsia="Times New Roman" w:hAnsi="Times New Roman"/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AB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946D98"/>
    <w:rPr>
      <w:color w:val="0563C1"/>
      <w:u w:val="single"/>
    </w:rPr>
  </w:style>
  <w:style w:type="character" w:customStyle="1" w:styleId="italic">
    <w:name w:val="italic"/>
    <w:basedOn w:val="Policepardfaut"/>
    <w:rsid w:val="00946D98"/>
    <w:rPr>
      <w:i/>
      <w:iCs/>
    </w:rPr>
  </w:style>
  <w:style w:type="character" w:styleId="Lienhypertexte">
    <w:name w:val="Hyperlink"/>
    <w:basedOn w:val="Policepardfaut"/>
    <w:uiPriority w:val="99"/>
    <w:unhideWhenUsed/>
    <w:rsid w:val="00946D98"/>
    <w:rPr>
      <w:color w:val="0563C1" w:themeColor="hyperlink"/>
      <w:u w:val="single"/>
    </w:rPr>
  </w:style>
  <w:style w:type="paragraph" w:customStyle="1" w:styleId="Default">
    <w:name w:val="Default"/>
    <w:rsid w:val="00757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6B04D0"/>
    <w:pPr>
      <w:widowControl w:val="0"/>
      <w:autoSpaceDE w:val="0"/>
      <w:autoSpaceDN w:val="0"/>
      <w:jc w:val="left"/>
    </w:pPr>
    <w:rPr>
      <w:rFonts w:ascii="Tahoma" w:eastAsia="Tahoma" w:hAnsi="Tahoma" w:cs="Tahoma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6B04D0"/>
    <w:rPr>
      <w:rFonts w:ascii="Tahoma" w:eastAsia="Tahoma" w:hAnsi="Tahoma" w:cs="Tahoma"/>
      <w:lang w:val="en-GB"/>
    </w:rPr>
  </w:style>
  <w:style w:type="paragraph" w:customStyle="1" w:styleId="TableParagraph">
    <w:name w:val="Table Paragraph"/>
    <w:basedOn w:val="Normal"/>
    <w:uiPriority w:val="1"/>
    <w:qFormat/>
    <w:rsid w:val="006B04D0"/>
    <w:pPr>
      <w:widowControl w:val="0"/>
      <w:autoSpaceDE w:val="0"/>
      <w:autoSpaceDN w:val="0"/>
      <w:ind w:left="107"/>
      <w:jc w:val="left"/>
    </w:pPr>
    <w:rPr>
      <w:rFonts w:ascii="Tahoma" w:eastAsia="Tahoma" w:hAnsi="Tahoma" w:cs="Tahoma"/>
      <w:sz w:val="22"/>
      <w:szCs w:val="2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80EC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B7A59"/>
    <w:rPr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unhideWhenUsed/>
    <w:rsid w:val="005E1D72"/>
    <w:pPr>
      <w:spacing w:after="100"/>
    </w:pPr>
  </w:style>
  <w:style w:type="paragraph" w:customStyle="1" w:styleId="doc-ti1">
    <w:name w:val="doc-ti1"/>
    <w:basedOn w:val="Normal"/>
    <w:rsid w:val="0082277A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lang w:eastAsia="en-GB"/>
    </w:rPr>
  </w:style>
  <w:style w:type="paragraph" w:styleId="Textebrut">
    <w:name w:val="Plain Text"/>
    <w:basedOn w:val="Normal"/>
    <w:link w:val="TextebrutCar"/>
    <w:uiPriority w:val="99"/>
    <w:unhideWhenUsed/>
    <w:rsid w:val="00AB7532"/>
    <w:pPr>
      <w:jc w:val="left"/>
    </w:pPr>
    <w:rPr>
      <w:rFonts w:ascii="Trebuchet MS" w:eastAsia="Calibri" w:hAnsi="Trebuchet MS"/>
      <w:sz w:val="21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rsid w:val="00AB7532"/>
    <w:rPr>
      <w:rFonts w:ascii="Trebuchet MS" w:eastAsia="Calibri" w:hAnsi="Trebuchet MS"/>
      <w:sz w:val="21"/>
      <w:szCs w:val="2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9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1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3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9EC3D3B43347AD033BE2D8FD80A2" ma:contentTypeVersion="13" ma:contentTypeDescription="Create a new document." ma:contentTypeScope="" ma:versionID="3cc88382ce305639ec870a7f72954ae7">
  <xsd:schema xmlns:xsd="http://www.w3.org/2001/XMLSchema" xmlns:xs="http://www.w3.org/2001/XMLSchema" xmlns:p="http://schemas.microsoft.com/office/2006/metadata/properties" xmlns:ns3="630ff3f4-226a-4201-9481-dff13ccfab6d" xmlns:ns4="8e8c30a6-ea90-4f24-a9ce-60fd5c44c3e9" targetNamespace="http://schemas.microsoft.com/office/2006/metadata/properties" ma:root="true" ma:fieldsID="207227550d172b6691f4f999f1a37190" ns3:_="" ns4:_="">
    <xsd:import namespace="630ff3f4-226a-4201-9481-dff13ccfab6d"/>
    <xsd:import namespace="8e8c30a6-ea90-4f24-a9ce-60fd5c44c3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3f4-226a-4201-9481-dff13ccfa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30a6-ea90-4f24-a9ce-60fd5c4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D2FE-4B9B-475A-99D1-A104ABBB2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353F2-CC47-4518-B00E-229D4DABD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49A83-965C-4687-8C1E-28F15DD7B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f3f4-226a-4201-9481-dff13ccfab6d"/>
    <ds:schemaRef ds:uri="8e8c30a6-ea90-4f24-a9ce-60fd5c44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27A63-CFDF-480A-ACD7-7A444874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Shkolnikov, Maxim</dc:creator>
  <cp:lastModifiedBy>Team-NB</cp:lastModifiedBy>
  <cp:revision>2</cp:revision>
  <cp:lastPrinted>2020-11-26T21:24:00Z</cp:lastPrinted>
  <dcterms:created xsi:type="dcterms:W3CDTF">2022-05-30T06:45:00Z</dcterms:created>
  <dcterms:modified xsi:type="dcterms:W3CDTF">2022-05-30T06:45:00Z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0x010100641A9EC3D3B43347AD033BE2D8FD80A2</vt:lpwstr>
  </property>
</Properties>
</file>